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7A" w:rsidRDefault="00BF588F" w:rsidP="00BF588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National Standards 2014 (end of year)</w:t>
      </w:r>
    </w:p>
    <w:p w:rsidR="00EC4C91" w:rsidRDefault="00D94A2A" w:rsidP="00E3135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Whitikahu school students compare favourably</w:t>
      </w:r>
      <w:r w:rsidR="00E31352">
        <w:rPr>
          <w:rFonts w:ascii="Times New Roman" w:hAnsi="Times New Roman" w:cs="Times New Roman"/>
          <w:sz w:val="24"/>
        </w:rPr>
        <w:t xml:space="preserve"> with the </w:t>
      </w:r>
      <w:r w:rsidR="00EC4C91">
        <w:rPr>
          <w:rFonts w:ascii="Times New Roman" w:hAnsi="Times New Roman" w:cs="Times New Roman"/>
          <w:sz w:val="24"/>
        </w:rPr>
        <w:t>rest of New Zealand.</w:t>
      </w:r>
      <w:r w:rsidR="00E31352">
        <w:rPr>
          <w:rFonts w:ascii="Times New Roman" w:hAnsi="Times New Roman" w:cs="Times New Roman"/>
          <w:sz w:val="24"/>
        </w:rPr>
        <w:t xml:space="preserve"> Teachers collect data about students and programmes are planned to meet the needs of the students.</w:t>
      </w:r>
      <w:r w:rsidR="00310AC7">
        <w:rPr>
          <w:rFonts w:ascii="Times New Roman" w:hAnsi="Times New Roman" w:cs="Times New Roman"/>
          <w:sz w:val="24"/>
        </w:rPr>
        <w:t xml:space="preserve"> Girls and boys are achieving at similar levels in Reading literacy and Maths, </w:t>
      </w:r>
      <w:proofErr w:type="gramStart"/>
      <w:r w:rsidR="00310AC7">
        <w:rPr>
          <w:rFonts w:ascii="Times New Roman" w:hAnsi="Times New Roman" w:cs="Times New Roman"/>
          <w:sz w:val="24"/>
        </w:rPr>
        <w:t>however  a</w:t>
      </w:r>
      <w:proofErr w:type="gramEnd"/>
      <w:r w:rsidR="00310AC7">
        <w:rPr>
          <w:rFonts w:ascii="Times New Roman" w:hAnsi="Times New Roman" w:cs="Times New Roman"/>
          <w:sz w:val="24"/>
        </w:rPr>
        <w:t xml:space="preserve"> greater number of girls are achieving at or above the national standards in Writing.</w:t>
      </w:r>
    </w:p>
    <w:p w:rsidR="00310AC7" w:rsidRPr="00D94A2A" w:rsidRDefault="00310AC7" w:rsidP="0031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A2A">
        <w:rPr>
          <w:rFonts w:ascii="Times New Roman" w:hAnsi="Times New Roman" w:cs="Times New Roman"/>
          <w:b/>
          <w:sz w:val="24"/>
          <w:szCs w:val="24"/>
        </w:rPr>
        <w:t xml:space="preserve">Students who have not been at school for 40 weeks are not able to be counted in this data, however their teacher will have </w:t>
      </w:r>
      <w:proofErr w:type="gramStart"/>
      <w:r w:rsidRPr="00D94A2A">
        <w:rPr>
          <w:rFonts w:ascii="Times New Roman" w:hAnsi="Times New Roman" w:cs="Times New Roman"/>
          <w:b/>
          <w:sz w:val="24"/>
          <w:szCs w:val="24"/>
        </w:rPr>
        <w:t>reported  to</w:t>
      </w:r>
      <w:proofErr w:type="gramEnd"/>
      <w:r w:rsidRPr="00D94A2A">
        <w:rPr>
          <w:rFonts w:ascii="Times New Roman" w:hAnsi="Times New Roman" w:cs="Times New Roman"/>
          <w:b/>
          <w:sz w:val="24"/>
          <w:szCs w:val="24"/>
        </w:rPr>
        <w:t xml:space="preserve"> parents, after 20 weeks, on their progress towards National Curriculum Standards for the end of 1 year at school.</w:t>
      </w:r>
    </w:p>
    <w:p w:rsidR="00BF588F" w:rsidRDefault="00D94A2A" w:rsidP="00BF588F">
      <w:pPr>
        <w:rPr>
          <w:rFonts w:ascii="Times New Roman" w:hAnsi="Times New Roman" w:cs="Times New Roman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9094A38" wp14:editId="4470F09A">
            <wp:simplePos x="0" y="0"/>
            <wp:positionH relativeFrom="column">
              <wp:posOffset>3683000</wp:posOffset>
            </wp:positionH>
            <wp:positionV relativeFrom="paragraph">
              <wp:posOffset>304800</wp:posOffset>
            </wp:positionV>
            <wp:extent cx="2486660" cy="2452370"/>
            <wp:effectExtent l="0" t="0" r="27940" b="24130"/>
            <wp:wrapTight wrapText="bothSides">
              <wp:wrapPolygon edited="0">
                <wp:start x="0" y="0"/>
                <wp:lineTo x="0" y="21645"/>
                <wp:lineTo x="21677" y="21645"/>
                <wp:lineTo x="21677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88F" w:rsidRPr="00BF588F" w:rsidRDefault="00BF588F" w:rsidP="00BF588F">
      <w:pPr>
        <w:rPr>
          <w:rFonts w:ascii="Times New Roman" w:hAnsi="Times New Roman" w:cs="Times New Roman"/>
          <w:b/>
          <w:sz w:val="24"/>
          <w:u w:val="single"/>
        </w:rPr>
      </w:pPr>
      <w:r w:rsidRPr="00BF588F">
        <w:rPr>
          <w:rFonts w:ascii="Times New Roman" w:hAnsi="Times New Roman" w:cs="Times New Roman"/>
          <w:b/>
          <w:sz w:val="24"/>
          <w:u w:val="single"/>
        </w:rPr>
        <w:t>Reading Literacy:</w:t>
      </w:r>
    </w:p>
    <w:p w:rsidR="00BF588F" w:rsidRPr="00D94A2A" w:rsidRDefault="00BF588F" w:rsidP="00E31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Overall 76% of all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national standard for their year group in reading with 32%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national standard. Using data just for years 4-8 we find that 89.5% of students are achieving </w:t>
      </w:r>
      <w:r w:rsidRPr="00310AC7">
        <w:rPr>
          <w:rFonts w:ascii="Times New Roman" w:hAnsi="Times New Roman" w:cs="Times New Roman"/>
          <w:i/>
          <w:sz w:val="24"/>
          <w:szCs w:val="24"/>
        </w:rPr>
        <w:t xml:space="preserve">at </w:t>
      </w:r>
      <w:bookmarkStart w:id="0" w:name="_GoBack"/>
      <w:r w:rsidRPr="00310AC7">
        <w:rPr>
          <w:rFonts w:ascii="Times New Roman" w:hAnsi="Times New Roman" w:cs="Times New Roman"/>
          <w:i/>
          <w:sz w:val="24"/>
          <w:szCs w:val="24"/>
        </w:rPr>
        <w:t xml:space="preserve">or above </w:t>
      </w:r>
      <w:r w:rsidRPr="00D94A2A">
        <w:rPr>
          <w:rFonts w:ascii="Times New Roman" w:hAnsi="Times New Roman" w:cs="Times New Roman"/>
          <w:sz w:val="24"/>
          <w:szCs w:val="24"/>
        </w:rPr>
        <w:t>the standards,</w:t>
      </w:r>
      <w:r w:rsidR="00310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AC7">
        <w:rPr>
          <w:rFonts w:ascii="Times New Roman" w:hAnsi="Times New Roman" w:cs="Times New Roman"/>
          <w:sz w:val="24"/>
          <w:szCs w:val="24"/>
        </w:rPr>
        <w:t>with  46</w:t>
      </w:r>
      <w:proofErr w:type="gramEnd"/>
      <w:r w:rsidR="00310AC7">
        <w:rPr>
          <w:rFonts w:ascii="Times New Roman" w:hAnsi="Times New Roman" w:cs="Times New Roman"/>
          <w:sz w:val="24"/>
          <w:szCs w:val="24"/>
        </w:rPr>
        <w:t xml:space="preserve">% </w:t>
      </w:r>
      <w:r w:rsidRPr="00D94A2A">
        <w:rPr>
          <w:rFonts w:ascii="Times New Roman" w:hAnsi="Times New Roman" w:cs="Times New Roman"/>
          <w:sz w:val="24"/>
          <w:szCs w:val="24"/>
        </w:rPr>
        <w:t xml:space="preserve"> achieving </w:t>
      </w:r>
      <w:r w:rsidRPr="00310AC7">
        <w:rPr>
          <w:rFonts w:ascii="Times New Roman" w:hAnsi="Times New Roman" w:cs="Times New Roman"/>
          <w:i/>
          <w:sz w:val="24"/>
          <w:szCs w:val="24"/>
        </w:rPr>
        <w:t>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</w:t>
      </w:r>
      <w:bookmarkEnd w:id="0"/>
      <w:r w:rsidRPr="00D94A2A">
        <w:rPr>
          <w:rFonts w:ascii="Times New Roman" w:hAnsi="Times New Roman" w:cs="Times New Roman"/>
          <w:sz w:val="24"/>
          <w:szCs w:val="24"/>
        </w:rPr>
        <w:t>standard.</w:t>
      </w:r>
    </w:p>
    <w:p w:rsidR="00BF588F" w:rsidRPr="00D94A2A" w:rsidRDefault="00BF588F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88F" w:rsidRPr="00D94A2A" w:rsidRDefault="00BF588F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75%of boys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national standard while 76% of girls are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. 35% of all boys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national standard compared to 29% of girls. </w:t>
      </w:r>
    </w:p>
    <w:p w:rsidR="00BF588F" w:rsidRPr="00D94A2A" w:rsidRDefault="00BF588F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88F" w:rsidRPr="00D94A2A" w:rsidRDefault="00BF588F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79% of all Maori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national standards which compare favourably with the whole school cohort.</w:t>
      </w:r>
      <w:r w:rsidR="00E31352">
        <w:rPr>
          <w:rFonts w:ascii="Times New Roman" w:hAnsi="Times New Roman" w:cs="Times New Roman"/>
          <w:sz w:val="24"/>
          <w:szCs w:val="24"/>
        </w:rPr>
        <w:t xml:space="preserve"> </w:t>
      </w:r>
      <w:r w:rsidRPr="00D94A2A">
        <w:rPr>
          <w:rFonts w:ascii="Times New Roman" w:hAnsi="Times New Roman" w:cs="Times New Roman"/>
          <w:sz w:val="24"/>
          <w:szCs w:val="24"/>
        </w:rPr>
        <w:t xml:space="preserve"> 80% of all Asian / Indian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 xml:space="preserve">at or above </w:t>
      </w:r>
      <w:r w:rsidRPr="00D94A2A">
        <w:rPr>
          <w:rFonts w:ascii="Times New Roman" w:hAnsi="Times New Roman" w:cs="Times New Roman"/>
          <w:sz w:val="24"/>
          <w:szCs w:val="24"/>
        </w:rPr>
        <w:t xml:space="preserve">the national standard. </w:t>
      </w:r>
      <w:r w:rsidR="00E31352">
        <w:rPr>
          <w:rFonts w:ascii="Times New Roman" w:hAnsi="Times New Roman" w:cs="Times New Roman"/>
          <w:sz w:val="24"/>
          <w:szCs w:val="24"/>
        </w:rPr>
        <w:t xml:space="preserve"> </w:t>
      </w:r>
      <w:r w:rsidRPr="00D94A2A">
        <w:rPr>
          <w:rFonts w:ascii="Times New Roman" w:hAnsi="Times New Roman" w:cs="Times New Roman"/>
          <w:sz w:val="24"/>
          <w:szCs w:val="24"/>
        </w:rPr>
        <w:t xml:space="preserve">74% of European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national standards.        </w:t>
      </w:r>
    </w:p>
    <w:p w:rsidR="00BF588F" w:rsidRPr="00D94A2A" w:rsidRDefault="00BF588F" w:rsidP="00BF588F">
      <w:pPr>
        <w:rPr>
          <w:rFonts w:ascii="Times New Roman" w:hAnsi="Times New Roman" w:cs="Times New Roman"/>
          <w:sz w:val="24"/>
          <w:szCs w:val="24"/>
        </w:rPr>
      </w:pPr>
    </w:p>
    <w:p w:rsidR="00BF588F" w:rsidRPr="00D94A2A" w:rsidRDefault="00D94A2A" w:rsidP="00BF5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A2A"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 wp14:anchorId="552D1DA6" wp14:editId="3ED73E33">
            <wp:simplePos x="0" y="0"/>
            <wp:positionH relativeFrom="column">
              <wp:posOffset>3545840</wp:posOffset>
            </wp:positionH>
            <wp:positionV relativeFrom="paragraph">
              <wp:posOffset>1905</wp:posOffset>
            </wp:positionV>
            <wp:extent cx="2820035" cy="2212975"/>
            <wp:effectExtent l="0" t="0" r="18415" b="15875"/>
            <wp:wrapTight wrapText="bothSides">
              <wp:wrapPolygon edited="0">
                <wp:start x="0" y="0"/>
                <wp:lineTo x="0" y="21569"/>
                <wp:lineTo x="21595" y="21569"/>
                <wp:lineTo x="21595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8F" w:rsidRPr="00D94A2A"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  <w:r w:rsidRPr="00D94A2A"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</w:t>
      </w:r>
    </w:p>
    <w:p w:rsidR="00BF588F" w:rsidRPr="00D94A2A" w:rsidRDefault="00BF588F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67% of all </w:t>
      </w:r>
      <w:proofErr w:type="gramStart"/>
      <w:r w:rsidRPr="00D94A2A">
        <w:rPr>
          <w:rFonts w:ascii="Times New Roman" w:hAnsi="Times New Roman" w:cs="Times New Roman"/>
          <w:sz w:val="24"/>
          <w:szCs w:val="24"/>
        </w:rPr>
        <w:t>students  are</w:t>
      </w:r>
      <w:proofErr w:type="gramEnd"/>
      <w:r w:rsidRPr="00D94A2A">
        <w:rPr>
          <w:rFonts w:ascii="Times New Roman" w:hAnsi="Times New Roman" w:cs="Times New Roman"/>
          <w:sz w:val="24"/>
          <w:szCs w:val="24"/>
        </w:rPr>
        <w:t xml:space="preserve"> achieving 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national standard in writing with 24%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above.</w:t>
      </w:r>
      <w:r w:rsidRPr="00D9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88F" w:rsidRPr="00D94A2A" w:rsidRDefault="00E31352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77% of students in</w:t>
      </w:r>
      <w:r w:rsidR="00BF588F" w:rsidRPr="00D94A2A">
        <w:rPr>
          <w:rFonts w:ascii="Times New Roman" w:hAnsi="Times New Roman" w:cs="Times New Roman"/>
          <w:sz w:val="24"/>
          <w:szCs w:val="24"/>
        </w:rPr>
        <w:t xml:space="preserve"> years 4-</w:t>
      </w:r>
      <w:proofErr w:type="gramStart"/>
      <w:r w:rsidR="00BF588F" w:rsidRPr="00D94A2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achieving </w:t>
      </w:r>
      <w:r w:rsidRPr="00310AC7">
        <w:rPr>
          <w:rFonts w:ascii="Times New Roman" w:hAnsi="Times New Roman" w:cs="Times New Roman"/>
          <w:i/>
          <w:sz w:val="24"/>
          <w:szCs w:val="24"/>
        </w:rPr>
        <w:t>at or above</w:t>
      </w:r>
      <w:r>
        <w:rPr>
          <w:rFonts w:ascii="Times New Roman" w:hAnsi="Times New Roman" w:cs="Times New Roman"/>
          <w:sz w:val="24"/>
          <w:szCs w:val="24"/>
        </w:rPr>
        <w:t xml:space="preserve"> the national standards. In years 1-3 students are making excellent progress however a number of students are still working towards meeting the national standards.</w:t>
      </w:r>
    </w:p>
    <w:p w:rsidR="00BF588F" w:rsidRPr="00D94A2A" w:rsidRDefault="00BF588F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23% </w:t>
      </w:r>
      <w:proofErr w:type="gramStart"/>
      <w:r w:rsidRPr="00D94A2A">
        <w:rPr>
          <w:rFonts w:ascii="Times New Roman" w:hAnsi="Times New Roman" w:cs="Times New Roman"/>
          <w:sz w:val="24"/>
          <w:szCs w:val="24"/>
        </w:rPr>
        <w:t>of</w:t>
      </w:r>
      <w:r w:rsidR="00E31352">
        <w:rPr>
          <w:rFonts w:ascii="Times New Roman" w:hAnsi="Times New Roman" w:cs="Times New Roman"/>
          <w:sz w:val="24"/>
          <w:szCs w:val="24"/>
        </w:rPr>
        <w:t xml:space="preserve"> </w:t>
      </w:r>
      <w:r w:rsidRPr="00D94A2A">
        <w:rPr>
          <w:rFonts w:ascii="Times New Roman" w:hAnsi="Times New Roman" w:cs="Times New Roman"/>
          <w:sz w:val="24"/>
          <w:szCs w:val="24"/>
        </w:rPr>
        <w:t xml:space="preserve"> students</w:t>
      </w:r>
      <w:proofErr w:type="gramEnd"/>
      <w:r w:rsidR="00E31352">
        <w:rPr>
          <w:rFonts w:ascii="Times New Roman" w:hAnsi="Times New Roman" w:cs="Times New Roman"/>
          <w:sz w:val="24"/>
          <w:szCs w:val="24"/>
        </w:rPr>
        <w:t xml:space="preserve"> in years 4-8</w:t>
      </w:r>
      <w:r w:rsidRPr="00D94A2A">
        <w:rPr>
          <w:rFonts w:ascii="Times New Roman" w:hAnsi="Times New Roman" w:cs="Times New Roman"/>
          <w:sz w:val="24"/>
          <w:szCs w:val="24"/>
        </w:rPr>
        <w:t xml:space="preserve"> are achieving below the national standard, th</w:t>
      </w:r>
      <w:r w:rsidR="00D94A2A" w:rsidRPr="00D94A2A">
        <w:rPr>
          <w:rFonts w:ascii="Times New Roman" w:hAnsi="Times New Roman" w:cs="Times New Roman"/>
          <w:sz w:val="24"/>
          <w:szCs w:val="24"/>
        </w:rPr>
        <w:t>ese students will become part o</w:t>
      </w:r>
      <w:r w:rsidRPr="00D94A2A">
        <w:rPr>
          <w:rFonts w:ascii="Times New Roman" w:hAnsi="Times New Roman" w:cs="Times New Roman"/>
          <w:sz w:val="24"/>
          <w:szCs w:val="24"/>
        </w:rPr>
        <w:t>f the priority learners group in 2015.</w:t>
      </w:r>
    </w:p>
    <w:p w:rsidR="00BF588F" w:rsidRPr="00D94A2A" w:rsidRDefault="00BF588F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88F" w:rsidRPr="00D94A2A" w:rsidRDefault="00BF588F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62% of all boys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(24 % in the </w:t>
      </w:r>
      <w:proofErr w:type="gramStart"/>
      <w:r w:rsidRPr="00D94A2A">
        <w:rPr>
          <w:rFonts w:ascii="Times New Roman" w:hAnsi="Times New Roman" w:cs="Times New Roman"/>
          <w:i/>
          <w:sz w:val="24"/>
          <w:szCs w:val="24"/>
        </w:rPr>
        <w:t xml:space="preserve">above  </w:t>
      </w:r>
      <w:r w:rsidRPr="00D94A2A">
        <w:rPr>
          <w:rFonts w:ascii="Times New Roman" w:hAnsi="Times New Roman" w:cs="Times New Roman"/>
          <w:sz w:val="24"/>
          <w:szCs w:val="24"/>
        </w:rPr>
        <w:t>category</w:t>
      </w:r>
      <w:proofErr w:type="gramEnd"/>
      <w:r w:rsidRPr="00D94A2A">
        <w:rPr>
          <w:rFonts w:ascii="Times New Roman" w:hAnsi="Times New Roman" w:cs="Times New Roman"/>
          <w:sz w:val="24"/>
          <w:szCs w:val="24"/>
        </w:rPr>
        <w:t xml:space="preserve">) while 74% of all girls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(23.5% in the </w:t>
      </w:r>
      <w:r w:rsidRPr="00D94A2A">
        <w:rPr>
          <w:rFonts w:ascii="Times New Roman" w:hAnsi="Times New Roman" w:cs="Times New Roman"/>
          <w:i/>
          <w:sz w:val="24"/>
          <w:szCs w:val="24"/>
        </w:rPr>
        <w:t xml:space="preserve">above </w:t>
      </w:r>
      <w:r w:rsidRPr="00D94A2A">
        <w:rPr>
          <w:rFonts w:ascii="Times New Roman" w:hAnsi="Times New Roman" w:cs="Times New Roman"/>
          <w:sz w:val="24"/>
          <w:szCs w:val="24"/>
        </w:rPr>
        <w:t>category)</w:t>
      </w:r>
    </w:p>
    <w:p w:rsidR="00BF588F" w:rsidRPr="00D94A2A" w:rsidRDefault="00BF588F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C7" w:rsidRDefault="00BF588F" w:rsidP="00D9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63% of all Maori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 xml:space="preserve">at or above </w:t>
      </w:r>
      <w:r w:rsidRPr="00D94A2A">
        <w:rPr>
          <w:rFonts w:ascii="Times New Roman" w:hAnsi="Times New Roman" w:cs="Times New Roman"/>
          <w:sz w:val="24"/>
          <w:szCs w:val="24"/>
        </w:rPr>
        <w:t xml:space="preserve">the national standards with 10 % achieving in the </w:t>
      </w:r>
      <w:r w:rsidRPr="00D94A2A">
        <w:rPr>
          <w:rFonts w:ascii="Times New Roman" w:hAnsi="Times New Roman" w:cs="Times New Roman"/>
          <w:i/>
          <w:sz w:val="24"/>
          <w:szCs w:val="24"/>
        </w:rPr>
        <w:t>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category.70 % of Asian</w:t>
      </w:r>
      <w:proofErr w:type="gramStart"/>
      <w:r w:rsidRPr="00D94A2A">
        <w:rPr>
          <w:rFonts w:ascii="Times New Roman" w:hAnsi="Times New Roman" w:cs="Times New Roman"/>
          <w:sz w:val="24"/>
          <w:szCs w:val="24"/>
        </w:rPr>
        <w:t>/  Indian</w:t>
      </w:r>
      <w:proofErr w:type="gramEnd"/>
      <w:r w:rsidRPr="00D94A2A">
        <w:rPr>
          <w:rFonts w:ascii="Times New Roman" w:hAnsi="Times New Roman" w:cs="Times New Roman"/>
          <w:sz w:val="24"/>
          <w:szCs w:val="24"/>
        </w:rPr>
        <w:t xml:space="preserve">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. 69% of European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national standards.</w:t>
      </w:r>
    </w:p>
    <w:p w:rsidR="00D94A2A" w:rsidRPr="00310AC7" w:rsidRDefault="00D94A2A" w:rsidP="00D9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noProof/>
          <w:sz w:val="24"/>
          <w:szCs w:val="24"/>
          <w:lang w:eastAsia="en-NZ"/>
        </w:rPr>
        <w:lastRenderedPageBreak/>
        <w:drawing>
          <wp:anchor distT="0" distB="0" distL="114300" distR="114300" simplePos="0" relativeHeight="251660288" behindDoc="1" locked="0" layoutInCell="1" allowOverlap="1" wp14:anchorId="1EA3CE8A" wp14:editId="0D374493">
            <wp:simplePos x="0" y="0"/>
            <wp:positionH relativeFrom="column">
              <wp:posOffset>3050540</wp:posOffset>
            </wp:positionH>
            <wp:positionV relativeFrom="paragraph">
              <wp:posOffset>144780</wp:posOffset>
            </wp:positionV>
            <wp:extent cx="3443605" cy="2973705"/>
            <wp:effectExtent l="0" t="0" r="23495" b="17145"/>
            <wp:wrapTight wrapText="bothSides">
              <wp:wrapPolygon edited="0">
                <wp:start x="0" y="0"/>
                <wp:lineTo x="0" y="21586"/>
                <wp:lineTo x="21628" y="21586"/>
                <wp:lineTo x="21628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A2A"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  <w:r w:rsidRPr="00D94A2A"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</w:t>
      </w:r>
    </w:p>
    <w:p w:rsidR="00E31352" w:rsidRDefault="00D94A2A" w:rsidP="00D9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74% of all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national standard for their year group with 28%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. Students in years 1-3 </w:t>
      </w:r>
      <w:r w:rsidR="00E31352">
        <w:rPr>
          <w:rFonts w:ascii="Times New Roman" w:hAnsi="Times New Roman" w:cs="Times New Roman"/>
          <w:sz w:val="24"/>
          <w:szCs w:val="24"/>
        </w:rPr>
        <w:t>are making excellent progress, a number of these are</w:t>
      </w:r>
      <w:r w:rsidR="00310AC7">
        <w:rPr>
          <w:rFonts w:ascii="Times New Roman" w:hAnsi="Times New Roman" w:cs="Times New Roman"/>
          <w:sz w:val="24"/>
          <w:szCs w:val="24"/>
        </w:rPr>
        <w:t xml:space="preserve"> still</w:t>
      </w:r>
      <w:r w:rsidR="00E31352">
        <w:rPr>
          <w:rFonts w:ascii="Times New Roman" w:hAnsi="Times New Roman" w:cs="Times New Roman"/>
          <w:sz w:val="24"/>
          <w:szCs w:val="24"/>
        </w:rPr>
        <w:t xml:space="preserve"> working towards meeting the standards. </w:t>
      </w:r>
    </w:p>
    <w:p w:rsidR="00D94A2A" w:rsidRPr="00D94A2A" w:rsidRDefault="00E31352" w:rsidP="00D9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83% of students in years 4-8 are working </w:t>
      </w:r>
      <w:r w:rsidRPr="00310AC7">
        <w:rPr>
          <w:rFonts w:ascii="Times New Roman" w:hAnsi="Times New Roman" w:cs="Times New Roman"/>
          <w:i/>
          <w:sz w:val="24"/>
          <w:szCs w:val="24"/>
        </w:rPr>
        <w:t xml:space="preserve">at or above </w:t>
      </w:r>
      <w:r>
        <w:rPr>
          <w:rFonts w:ascii="Times New Roman" w:hAnsi="Times New Roman" w:cs="Times New Roman"/>
          <w:sz w:val="24"/>
          <w:szCs w:val="24"/>
        </w:rPr>
        <w:t>the national stands.</w:t>
      </w:r>
      <w:r w:rsidR="00D94A2A" w:rsidRPr="00D9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A2A" w:rsidRPr="00D94A2A" w:rsidRDefault="00D94A2A" w:rsidP="00D9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2A" w:rsidRPr="00D94A2A" w:rsidRDefault="00D94A2A" w:rsidP="00D9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72% of all boys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with 29%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. 76% of all girls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 xml:space="preserve">at or above </w:t>
      </w:r>
      <w:r w:rsidRPr="00D94A2A">
        <w:rPr>
          <w:rFonts w:ascii="Times New Roman" w:hAnsi="Times New Roman" w:cs="Times New Roman"/>
          <w:sz w:val="24"/>
          <w:szCs w:val="24"/>
        </w:rPr>
        <w:t xml:space="preserve">their age group with 26%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 xml:space="preserve">above. </w:t>
      </w:r>
    </w:p>
    <w:p w:rsidR="00D94A2A" w:rsidRPr="00D94A2A" w:rsidRDefault="00D94A2A" w:rsidP="00D9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2A" w:rsidRPr="00D94A2A" w:rsidRDefault="00D94A2A" w:rsidP="00D9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2A">
        <w:rPr>
          <w:rFonts w:ascii="Times New Roman" w:hAnsi="Times New Roman" w:cs="Times New Roman"/>
          <w:sz w:val="24"/>
          <w:szCs w:val="24"/>
        </w:rPr>
        <w:t xml:space="preserve">63% of Maori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>at or above</w:t>
      </w:r>
      <w:r w:rsidRPr="00D94A2A">
        <w:rPr>
          <w:rFonts w:ascii="Times New Roman" w:hAnsi="Times New Roman" w:cs="Times New Roman"/>
          <w:sz w:val="24"/>
          <w:szCs w:val="24"/>
        </w:rPr>
        <w:t xml:space="preserve"> the national standard. 80% of all Asian / Indian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 xml:space="preserve">at or above. </w:t>
      </w:r>
      <w:r w:rsidRPr="00D94A2A">
        <w:rPr>
          <w:rFonts w:ascii="Times New Roman" w:hAnsi="Times New Roman" w:cs="Times New Roman"/>
          <w:sz w:val="24"/>
          <w:szCs w:val="24"/>
        </w:rPr>
        <w:t xml:space="preserve">78% of European students are achieving </w:t>
      </w:r>
      <w:r w:rsidRPr="00D94A2A">
        <w:rPr>
          <w:rFonts w:ascii="Times New Roman" w:hAnsi="Times New Roman" w:cs="Times New Roman"/>
          <w:i/>
          <w:sz w:val="24"/>
          <w:szCs w:val="24"/>
        </w:rPr>
        <w:t xml:space="preserve">at or above </w:t>
      </w:r>
      <w:r w:rsidRPr="00D94A2A">
        <w:rPr>
          <w:rFonts w:ascii="Times New Roman" w:hAnsi="Times New Roman" w:cs="Times New Roman"/>
          <w:sz w:val="24"/>
          <w:szCs w:val="24"/>
        </w:rPr>
        <w:t>the national standard.</w:t>
      </w:r>
    </w:p>
    <w:p w:rsidR="00D94A2A" w:rsidRPr="00D94A2A" w:rsidRDefault="00D94A2A" w:rsidP="00D9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2A" w:rsidRDefault="00D94A2A" w:rsidP="00BF5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AC7" w:rsidRPr="00D94A2A" w:rsidRDefault="00310AC7" w:rsidP="00BF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88F" w:rsidRPr="00BF588F" w:rsidRDefault="00BF588F" w:rsidP="00BF588F">
      <w:pPr>
        <w:rPr>
          <w:rFonts w:ascii="Times New Roman" w:hAnsi="Times New Roman" w:cs="Times New Roman"/>
          <w:sz w:val="24"/>
        </w:rPr>
      </w:pPr>
    </w:p>
    <w:p w:rsidR="00BF588F" w:rsidRPr="00BF588F" w:rsidRDefault="00BF588F" w:rsidP="00BF588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BF588F" w:rsidRPr="00BF588F" w:rsidSect="00310AC7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76" w:rsidRDefault="00FF4776" w:rsidP="002C0921">
      <w:pPr>
        <w:spacing w:after="0" w:line="240" w:lineRule="auto"/>
      </w:pPr>
      <w:r>
        <w:separator/>
      </w:r>
    </w:p>
  </w:endnote>
  <w:endnote w:type="continuationSeparator" w:id="0">
    <w:p w:rsidR="00FF4776" w:rsidRDefault="00FF4776" w:rsidP="002C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21" w:rsidRDefault="002C0921">
    <w:pPr>
      <w:pStyle w:val="Footer"/>
    </w:pPr>
    <w:fldSimple w:instr=" FILENAME  \p  \* MERGEFORMAT ">
      <w:r>
        <w:rPr>
          <w:noProof/>
        </w:rPr>
        <w:t>C:\Users\trish\Documents\Principal reports\2014\National Standards 2014 end of year.docx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76" w:rsidRDefault="00FF4776" w:rsidP="002C0921">
      <w:pPr>
        <w:spacing w:after="0" w:line="240" w:lineRule="auto"/>
      </w:pPr>
      <w:r>
        <w:separator/>
      </w:r>
    </w:p>
  </w:footnote>
  <w:footnote w:type="continuationSeparator" w:id="0">
    <w:p w:rsidR="00FF4776" w:rsidRDefault="00FF4776" w:rsidP="002C0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8F"/>
    <w:rsid w:val="002C0921"/>
    <w:rsid w:val="00310AC7"/>
    <w:rsid w:val="00861480"/>
    <w:rsid w:val="00B25725"/>
    <w:rsid w:val="00BF588F"/>
    <w:rsid w:val="00D55ECF"/>
    <w:rsid w:val="00D94A2A"/>
    <w:rsid w:val="00E31352"/>
    <w:rsid w:val="00EC4C91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21"/>
  </w:style>
  <w:style w:type="paragraph" w:styleId="Footer">
    <w:name w:val="footer"/>
    <w:basedOn w:val="Normal"/>
    <w:link w:val="FooterChar"/>
    <w:uiPriority w:val="99"/>
    <w:unhideWhenUsed/>
    <w:rsid w:val="002C0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21"/>
  </w:style>
  <w:style w:type="paragraph" w:styleId="Footer">
    <w:name w:val="footer"/>
    <w:basedOn w:val="Normal"/>
    <w:link w:val="FooterChar"/>
    <w:uiPriority w:val="99"/>
    <w:unhideWhenUsed/>
    <w:rsid w:val="002C0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invertIfNegative val="0"/>
          <c:cat>
            <c:strRef>
              <c:f>Sheet1!$B$2:$E$2</c:f>
              <c:strCache>
                <c:ptCount val="4"/>
                <c:pt idx="0">
                  <c:v>Well Below</c:v>
                </c:pt>
                <c:pt idx="1">
                  <c:v>Below</c:v>
                </c:pt>
                <c:pt idx="2">
                  <c:v>At</c:v>
                </c:pt>
                <c:pt idx="3">
                  <c:v>Above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</c:v>
                </c:pt>
                <c:pt idx="1">
                  <c:v>0.24</c:v>
                </c:pt>
                <c:pt idx="2">
                  <c:v>0.44</c:v>
                </c:pt>
                <c:pt idx="3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851904"/>
        <c:axId val="101853824"/>
      </c:barChart>
      <c:catAx>
        <c:axId val="101851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Achievement level</a:t>
                </a:r>
              </a:p>
            </c:rich>
          </c:tx>
          <c:overlay val="0"/>
        </c:title>
        <c:majorTickMark val="out"/>
        <c:minorTickMark val="none"/>
        <c:tickLblPos val="nextTo"/>
        <c:crossAx val="101853824"/>
        <c:crosses val="autoZero"/>
        <c:auto val="1"/>
        <c:lblAlgn val="ctr"/>
        <c:lblOffset val="100"/>
        <c:noMultiLvlLbl val="0"/>
      </c:catAx>
      <c:valAx>
        <c:axId val="101853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students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0185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invertIfNegative val="0"/>
          <c:cat>
            <c:strRef>
              <c:f>Sheet1!$B$2:$E$2</c:f>
              <c:strCache>
                <c:ptCount val="4"/>
                <c:pt idx="0">
                  <c:v>Well Below</c:v>
                </c:pt>
                <c:pt idx="1">
                  <c:v>Below</c:v>
                </c:pt>
                <c:pt idx="2">
                  <c:v>At</c:v>
                </c:pt>
                <c:pt idx="3">
                  <c:v>Above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0.01</c:v>
                </c:pt>
                <c:pt idx="1">
                  <c:v>0.31</c:v>
                </c:pt>
                <c:pt idx="2">
                  <c:v>0.44</c:v>
                </c:pt>
                <c:pt idx="3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883264"/>
        <c:axId val="101885440"/>
      </c:barChart>
      <c:catAx>
        <c:axId val="101883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Achievement levels</a:t>
                </a:r>
              </a:p>
            </c:rich>
          </c:tx>
          <c:overlay val="0"/>
        </c:title>
        <c:majorTickMark val="out"/>
        <c:minorTickMark val="none"/>
        <c:tickLblPos val="nextTo"/>
        <c:crossAx val="101885440"/>
        <c:crosses val="autoZero"/>
        <c:auto val="1"/>
        <c:lblAlgn val="ctr"/>
        <c:lblOffset val="100"/>
        <c:noMultiLvlLbl val="0"/>
      </c:catAx>
      <c:valAx>
        <c:axId val="101885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students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0188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5075240594925635"/>
          <c:y val="0.18091462525517643"/>
          <c:w val="0.75484623797025374"/>
          <c:h val="0.59104512977544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invertIfNegative val="0"/>
          <c:cat>
            <c:strRef>
              <c:f>Sheet1!$B$2:$E$2</c:f>
              <c:strCache>
                <c:ptCount val="4"/>
                <c:pt idx="0">
                  <c:v>Well Below</c:v>
                </c:pt>
                <c:pt idx="1">
                  <c:v>Below</c:v>
                </c:pt>
                <c:pt idx="2">
                  <c:v>At</c:v>
                </c:pt>
                <c:pt idx="3">
                  <c:v>Above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0.02</c:v>
                </c:pt>
                <c:pt idx="1">
                  <c:v>0.24</c:v>
                </c:pt>
                <c:pt idx="2">
                  <c:v>0.46</c:v>
                </c:pt>
                <c:pt idx="3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906688"/>
        <c:axId val="101917056"/>
      </c:barChart>
      <c:catAx>
        <c:axId val="101906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Achievement level</a:t>
                </a:r>
              </a:p>
            </c:rich>
          </c:tx>
          <c:overlay val="0"/>
        </c:title>
        <c:majorTickMark val="out"/>
        <c:minorTickMark val="none"/>
        <c:tickLblPos val="nextTo"/>
        <c:crossAx val="101917056"/>
        <c:crosses val="autoZero"/>
        <c:auto val="1"/>
        <c:lblAlgn val="ctr"/>
        <c:lblOffset val="100"/>
        <c:noMultiLvlLbl val="0"/>
      </c:catAx>
      <c:valAx>
        <c:axId val="101917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students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0190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0.0343</cdr:x>
      <cdr:y>0.05227</cdr:y>
    </cdr:from>
    <cdr:to>
      <cdr:x>1</cdr:x>
      <cdr:y>0.14636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5458" y="128187"/>
          <a:ext cx="2401369" cy="2307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050"/>
            <a:t>National Standards 2014 Reading Literacy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0.20607</cdr:x>
      <cdr:y>0.04634</cdr:y>
    </cdr:from>
    <cdr:to>
      <cdr:x>0.95154</cdr:x>
      <cdr:y>0.15833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81114" y="102550"/>
          <a:ext cx="2102265" cy="247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100"/>
            <a:t>National Standards Writing 2014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0.14145</cdr:x>
      <cdr:y>0.02849</cdr:y>
    </cdr:from>
    <cdr:to>
      <cdr:x>0.87106</cdr:x>
      <cdr:y>0.1361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87111" y="76912"/>
          <a:ext cx="2512463" cy="2905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NZ" sz="1100"/>
            <a:t>National Standards Maths 2014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Wilson</dc:creator>
  <cp:lastModifiedBy>Trish Wilson</cp:lastModifiedBy>
  <cp:revision>4</cp:revision>
  <cp:lastPrinted>2015-05-17T23:52:00Z</cp:lastPrinted>
  <dcterms:created xsi:type="dcterms:W3CDTF">2015-05-17T20:54:00Z</dcterms:created>
  <dcterms:modified xsi:type="dcterms:W3CDTF">2015-05-17T23:54:00Z</dcterms:modified>
</cp:coreProperties>
</file>